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Comfortaa" w:hAnsi="Comfortaa"/>
        </w:rPr>
        <w:drawing>
          <wp:inline>
            <wp:extent cx="5210175" cy="876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10175" cy="876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Comfortaa" w:hAnsi="Comfortaa"/>
        </w:rPr>
      </w:pPr>
      <w:bookmarkStart w:id="1" w:name="_GoBack"/>
      <w:bookmarkEnd w:id="1"/>
      <w:r>
        <w:rPr>
          <w:rFonts w:ascii="Comfortaa" w:hAnsi="Comfortaa"/>
        </w:rPr>
        <w:t xml:space="preserve">Гарантийный срок и </w:t>
      </w:r>
      <w:r>
        <w:rPr>
          <w:rFonts w:ascii="Comfortaa" w:hAnsi="Comfortaa"/>
        </w:rPr>
        <w:t xml:space="preserve">средний </w:t>
      </w:r>
      <w:r>
        <w:rPr>
          <w:rFonts w:ascii="Comfortaa" w:hAnsi="Comfortaa"/>
        </w:rPr>
        <w:t>срок</w:t>
      </w:r>
      <w:r>
        <w:rPr>
          <w:rFonts w:ascii="Comfortaa" w:hAnsi="Comfortaa"/>
        </w:rPr>
        <w:t xml:space="preserve"> службы.</w:t>
      </w:r>
    </w:p>
    <w:tbl>
      <w:tblPr>
        <w:tblStyle w:val="Style_1"/>
        <w:tblLayout w:type="fixed"/>
      </w:tblPr>
      <w:tblGrid>
        <w:gridCol w:w="5807"/>
        <w:gridCol w:w="2126"/>
        <w:gridCol w:w="1412"/>
      </w:tblGrid>
      <w:tr>
        <w:tc>
          <w:tcPr>
            <w:tcW w:type="dxa" w:w="5807"/>
            <w:vAlign w:val="center"/>
          </w:tcPr>
          <w:p w14:paraId="04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Наименование</w:t>
            </w:r>
          </w:p>
        </w:tc>
        <w:tc>
          <w:tcPr>
            <w:tcW w:type="dxa" w:w="2126"/>
            <w:vAlign w:val="center"/>
          </w:tcPr>
          <w:p w14:paraId="05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Гарантийный срок</w:t>
            </w:r>
          </w:p>
        </w:tc>
        <w:tc>
          <w:tcPr>
            <w:tcW w:type="dxa" w:w="1412"/>
            <w:vAlign w:val="center"/>
          </w:tcPr>
          <w:p w14:paraId="06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Средний с</w:t>
            </w:r>
            <w:r>
              <w:rPr>
                <w:rFonts w:ascii="Comfortaa" w:hAnsi="Comfortaa"/>
              </w:rPr>
              <w:t>рок службы</w:t>
            </w:r>
          </w:p>
        </w:tc>
      </w:tr>
      <w:tr>
        <w:trPr>
          <w:trHeight w:hRule="atLeast" w:val="1211"/>
        </w:trPr>
        <w:tc>
          <w:tcPr>
            <w:tcW w:type="dxa" w:w="5807"/>
            <w:vAlign w:val="center"/>
          </w:tcPr>
          <w:p w14:paraId="07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Постоянная</w:t>
            </w:r>
            <w:r>
              <w:rPr>
                <w:rFonts w:ascii="Comfortaa" w:hAnsi="Comfortaa"/>
              </w:rPr>
              <w:t xml:space="preserve"> пломба</w:t>
            </w:r>
            <w:r>
              <w:rPr>
                <w:rFonts w:ascii="Comfortaa" w:hAnsi="Comfortaa"/>
              </w:rPr>
              <w:t xml:space="preserve"> из композитного</w:t>
            </w:r>
            <w:r>
              <w:rPr>
                <w:rFonts w:ascii="Comfortaa" w:hAnsi="Comfortaa"/>
              </w:rPr>
              <w:t xml:space="preserve"> </w:t>
            </w:r>
            <w:r>
              <w:rPr>
                <w:rFonts w:ascii="Comfortaa" w:hAnsi="Comfortaa"/>
              </w:rPr>
              <w:t>светоотверждаемого</w:t>
            </w:r>
            <w:r>
              <w:rPr>
                <w:rFonts w:ascii="Comfortaa" w:hAnsi="Comfortaa"/>
              </w:rPr>
              <w:t xml:space="preserve"> материала при разрушении коронковой части зуба менее 50 %</w:t>
            </w:r>
          </w:p>
        </w:tc>
        <w:tc>
          <w:tcPr>
            <w:tcW w:type="dxa" w:w="2126"/>
            <w:vAlign w:val="center"/>
          </w:tcPr>
          <w:p w14:paraId="08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6</w:t>
            </w:r>
            <w:r>
              <w:rPr>
                <w:rFonts w:ascii="Comfortaa" w:hAnsi="Comfortaa"/>
              </w:rPr>
              <w:t xml:space="preserve"> мес.</w:t>
            </w:r>
          </w:p>
        </w:tc>
        <w:tc>
          <w:tcPr>
            <w:tcW w:type="dxa" w:w="1412"/>
            <w:vAlign w:val="center"/>
          </w:tcPr>
          <w:p w14:paraId="09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3-</w:t>
            </w:r>
            <w:r>
              <w:rPr>
                <w:rFonts w:ascii="Comfortaa" w:hAnsi="Comfortaa"/>
              </w:rPr>
              <w:t>5 лет</w:t>
            </w:r>
          </w:p>
        </w:tc>
      </w:tr>
      <w:tr>
        <w:trPr>
          <w:trHeight w:hRule="atLeast" w:val="961"/>
        </w:trPr>
        <w:tc>
          <w:tcPr>
            <w:tcW w:type="dxa" w:w="5807"/>
            <w:vAlign w:val="center"/>
          </w:tcPr>
          <w:p w14:paraId="0A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 xml:space="preserve">Постоянные ортопедические конструкции (коронки, </w:t>
            </w:r>
            <w:r>
              <w:rPr>
                <w:rFonts w:ascii="Comfortaa" w:hAnsi="Comfortaa"/>
              </w:rPr>
              <w:t>виниры</w:t>
            </w:r>
            <w:r>
              <w:rPr>
                <w:rFonts w:ascii="Comfortaa" w:hAnsi="Comfortaa"/>
              </w:rPr>
              <w:t>, частичные и полные съемные протезы)</w:t>
            </w:r>
          </w:p>
        </w:tc>
        <w:tc>
          <w:tcPr>
            <w:tcW w:type="dxa" w:w="2126"/>
            <w:vAlign w:val="center"/>
          </w:tcPr>
          <w:p w14:paraId="0B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12 мес.</w:t>
            </w:r>
          </w:p>
        </w:tc>
        <w:tc>
          <w:tcPr>
            <w:tcW w:type="dxa" w:w="1412"/>
            <w:vAlign w:val="center"/>
          </w:tcPr>
          <w:p w14:paraId="0C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3-5 лет</w:t>
            </w:r>
          </w:p>
        </w:tc>
      </w:tr>
      <w:tr>
        <w:trPr>
          <w:trHeight w:hRule="atLeast" w:val="435"/>
        </w:trPr>
        <w:tc>
          <w:tcPr>
            <w:tcW w:type="dxa" w:w="5807"/>
            <w:vAlign w:val="center"/>
          </w:tcPr>
          <w:p w14:paraId="0D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Эстетическая каппа, спортивная каппа</w:t>
            </w:r>
          </w:p>
        </w:tc>
        <w:tc>
          <w:tcPr>
            <w:tcW w:type="dxa" w:w="2126"/>
            <w:vAlign w:val="center"/>
          </w:tcPr>
          <w:p w14:paraId="0E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30 дней</w:t>
            </w:r>
          </w:p>
        </w:tc>
        <w:tc>
          <w:tcPr>
            <w:tcW w:type="dxa" w:w="1412"/>
            <w:vAlign w:val="center"/>
          </w:tcPr>
          <w:p w14:paraId="0F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3 мес.</w:t>
            </w:r>
          </w:p>
        </w:tc>
      </w:tr>
      <w:tr>
        <w:trPr>
          <w:trHeight w:hRule="atLeast" w:val="1122"/>
        </w:trPr>
        <w:tc>
          <w:tcPr>
            <w:tcW w:type="dxa" w:w="5807"/>
            <w:vAlign w:val="center"/>
          </w:tcPr>
          <w:p w14:paraId="10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Лечение с применением стоматологических имплантатов</w:t>
            </w:r>
            <w:r>
              <w:rPr>
                <w:rFonts w:ascii="Comfortaa" w:hAnsi="Comfortaa"/>
              </w:rPr>
              <w:t xml:space="preserve"> (период интеграции имплантата</w:t>
            </w:r>
            <w:r>
              <w:rPr>
                <w:rFonts w:ascii="Comfortaa" w:hAnsi="Comfortaa"/>
              </w:rPr>
              <w:t>)</w:t>
            </w:r>
          </w:p>
        </w:tc>
        <w:tc>
          <w:tcPr>
            <w:tcW w:type="dxa" w:w="2126"/>
            <w:vAlign w:val="center"/>
          </w:tcPr>
          <w:p w14:paraId="11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3-</w:t>
            </w:r>
            <w:r>
              <w:rPr>
                <w:rFonts w:ascii="Comfortaa" w:hAnsi="Comfortaa"/>
              </w:rPr>
              <w:t>6</w:t>
            </w:r>
            <w:r>
              <w:rPr>
                <w:rFonts w:ascii="Comfortaa" w:hAnsi="Comfortaa"/>
              </w:rPr>
              <w:t xml:space="preserve"> мес.</w:t>
            </w:r>
          </w:p>
        </w:tc>
        <w:tc>
          <w:tcPr>
            <w:tcW w:type="dxa" w:w="1412"/>
            <w:vAlign w:val="center"/>
          </w:tcPr>
          <w:p w14:paraId="12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10 лет</w:t>
            </w:r>
          </w:p>
        </w:tc>
      </w:tr>
      <w:tr>
        <w:trPr>
          <w:trHeight w:hRule="atLeast" w:val="415"/>
        </w:trPr>
        <w:tc>
          <w:tcPr>
            <w:tcW w:type="dxa" w:w="5807"/>
            <w:vAlign w:val="center"/>
          </w:tcPr>
          <w:p w14:paraId="13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 xml:space="preserve">Фиксация </w:t>
            </w:r>
            <w:r>
              <w:rPr>
                <w:rFonts w:ascii="Comfortaa" w:hAnsi="Comfortaa"/>
              </w:rPr>
              <w:t>ретейнера</w:t>
            </w:r>
          </w:p>
        </w:tc>
        <w:tc>
          <w:tcPr>
            <w:tcW w:type="dxa" w:w="2126"/>
            <w:vAlign w:val="center"/>
          </w:tcPr>
          <w:p w14:paraId="14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3 мес.</w:t>
            </w:r>
          </w:p>
        </w:tc>
        <w:tc>
          <w:tcPr>
            <w:tcW w:type="dxa" w:w="1412"/>
            <w:vAlign w:val="center"/>
          </w:tcPr>
          <w:p w14:paraId="15000000">
            <w:pPr>
              <w:ind/>
              <w:jc w:val="center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12 мес.</w:t>
            </w:r>
          </w:p>
        </w:tc>
      </w:tr>
    </w:tbl>
    <w:p w14:paraId="16000000">
      <w:pPr>
        <w:rPr>
          <w:rFonts w:ascii="Comfortaa" w:hAnsi="Comfortaa"/>
        </w:rPr>
      </w:pPr>
    </w:p>
    <w:p w14:paraId="17000000">
      <w:pPr>
        <w:rPr>
          <w:rFonts w:ascii="Comfortaa" w:hAnsi="Comfortaa"/>
        </w:rPr>
      </w:pPr>
      <w:r>
        <w:rPr>
          <w:rFonts w:ascii="Comfortaa" w:hAnsi="Comfortaa"/>
        </w:rPr>
        <w:t>Гарантийное обслуживание (винтовая или цементная фиксация) постоянных ортопедических конструкций с момента постановки составляет 6 месяцев.</w:t>
      </w:r>
    </w:p>
    <w:p w14:paraId="18000000">
      <w:pPr>
        <w:rPr>
          <w:rFonts w:ascii="Comfortaa" w:hAnsi="Comfortaa"/>
        </w:rPr>
      </w:pPr>
      <w:r>
        <w:rPr>
          <w:rFonts w:ascii="Comfortaa" w:hAnsi="Comfortaa"/>
        </w:rPr>
        <w:t>Если после лечения глубокого кариеса в течении 6 месяцев</w:t>
      </w:r>
      <w:r>
        <w:rPr>
          <w:rFonts w:ascii="Comfortaa" w:hAnsi="Comfortaa"/>
        </w:rPr>
        <w:t xml:space="preserve"> </w:t>
      </w:r>
      <w:r>
        <w:rPr>
          <w:rFonts w:ascii="Comfortaa" w:hAnsi="Comfortaa"/>
        </w:rPr>
        <w:t xml:space="preserve">возникают болевые ощущения в зубе, и диагностируется </w:t>
      </w:r>
      <w:r>
        <w:rPr>
          <w:rFonts w:ascii="Comfortaa" w:hAnsi="Comfortaa"/>
        </w:rPr>
        <w:t>пульпит</w:t>
      </w:r>
      <w:r>
        <w:rPr>
          <w:rFonts w:ascii="Comfortaa" w:hAnsi="Comfortaa"/>
        </w:rPr>
        <w:t xml:space="preserve">, то дальнейшее эндодонтическое лечение проводится за счёт пациента, гарантия в таком случае распространяется только на </w:t>
      </w:r>
      <w:r>
        <w:rPr>
          <w:rFonts w:ascii="Comfortaa" w:hAnsi="Comfortaa"/>
        </w:rPr>
        <w:t>пломбу</w:t>
      </w:r>
      <w:r>
        <w:rPr>
          <w:rFonts w:ascii="Comfortaa" w:hAnsi="Comfortaa"/>
        </w:rPr>
        <w:t xml:space="preserve"> из </w:t>
      </w:r>
      <w:r>
        <w:rPr>
          <w:rFonts w:ascii="Comfortaa" w:hAnsi="Comfortaa"/>
        </w:rPr>
        <w:t>композитного</w:t>
      </w:r>
      <w:r>
        <w:rPr>
          <w:rFonts w:ascii="Comfortaa" w:hAnsi="Comfortaa"/>
        </w:rPr>
        <w:t xml:space="preserve"> </w:t>
      </w:r>
      <w:r>
        <w:rPr>
          <w:rFonts w:ascii="Comfortaa" w:hAnsi="Comfortaa"/>
        </w:rPr>
        <w:t>светоотверждаемого</w:t>
      </w:r>
      <w:r>
        <w:rPr>
          <w:rFonts w:ascii="Comfortaa" w:hAnsi="Comfortaa"/>
        </w:rPr>
        <w:t xml:space="preserve"> материала.</w:t>
      </w:r>
    </w:p>
    <w:p w14:paraId="19000000">
      <w:pPr>
        <w:rPr>
          <w:rFonts w:ascii="Comfortaa" w:hAnsi="Comfortaa"/>
        </w:rPr>
      </w:pPr>
      <w:r>
        <w:rPr>
          <w:rFonts w:ascii="Comfortaa" w:hAnsi="Comfortaa"/>
        </w:rPr>
        <w:t>В случае отторжения имплантата в период гарантийного срока (6 месяцев) проводится повторная имплантация новым имплантатом, операция имплантации проводится бесплатно.</w:t>
      </w:r>
      <w:r>
        <w:rPr>
          <w:rFonts w:ascii="Comfortaa" w:hAnsi="Comfortaa"/>
        </w:rPr>
        <w:t xml:space="preserve"> Если после отторжения импланта</w:t>
      </w:r>
      <w:r>
        <w:rPr>
          <w:rFonts w:ascii="Comfortaa" w:hAnsi="Comfortaa"/>
        </w:rPr>
        <w:t>та</w:t>
      </w:r>
      <w:r>
        <w:rPr>
          <w:rFonts w:ascii="Comfortaa" w:hAnsi="Comfortaa"/>
        </w:rPr>
        <w:t xml:space="preserve"> невозможно повторно поставить имплант</w:t>
      </w:r>
      <w:r>
        <w:rPr>
          <w:rFonts w:ascii="Comfortaa" w:hAnsi="Comfortaa"/>
        </w:rPr>
        <w:t>ат</w:t>
      </w:r>
      <w:r>
        <w:rPr>
          <w:rFonts w:ascii="Comfortaa" w:hAnsi="Comfortaa"/>
        </w:rPr>
        <w:t xml:space="preserve"> и требуется проведение костной пластики или иные дополнительные манипуляции, то они производятся за счет пациента.</w:t>
      </w:r>
    </w:p>
    <w:p w14:paraId="1A000000">
      <w:pPr>
        <w:rPr>
          <w:rFonts w:ascii="Comfortaa" w:hAnsi="Comfortaa"/>
        </w:rPr>
      </w:pPr>
      <w:r>
        <w:rPr>
          <w:rFonts w:ascii="Comfortaa" w:hAnsi="Comfortaa"/>
        </w:rPr>
        <w:t>Гарантия не распространяется на операции</w:t>
      </w:r>
      <w:r>
        <w:rPr>
          <w:rFonts w:ascii="Comfortaa" w:hAnsi="Comfortaa"/>
        </w:rPr>
        <w:t xml:space="preserve"> (</w:t>
      </w:r>
      <w:r>
        <w:rPr>
          <w:rFonts w:ascii="Comfortaa" w:hAnsi="Comfortaa"/>
        </w:rPr>
        <w:t>синусл</w:t>
      </w:r>
      <w:r>
        <w:rPr>
          <w:rFonts w:ascii="Comfortaa" w:hAnsi="Comfortaa"/>
        </w:rPr>
        <w:t>ифтинг</w:t>
      </w:r>
      <w:r>
        <w:rPr>
          <w:rFonts w:ascii="Comfortaa" w:hAnsi="Comfortaa"/>
        </w:rPr>
        <w:t xml:space="preserve">, пластика мягких тканей, резекция </w:t>
      </w:r>
      <w:r>
        <w:rPr>
          <w:rFonts w:ascii="Comfortaa" w:hAnsi="Comfortaa"/>
        </w:rPr>
        <w:t>и пр.).</w:t>
      </w:r>
      <w:r>
        <w:rPr>
          <w:rFonts w:ascii="Comfortaa" w:hAnsi="Comfortaa"/>
        </w:rPr>
        <w:t xml:space="preserve"> Поскольку данные вмешательства основаны на регенера</w:t>
      </w:r>
      <w:r>
        <w:rPr>
          <w:rFonts w:ascii="Comfortaa" w:hAnsi="Comfortaa"/>
        </w:rPr>
        <w:t>ции</w:t>
      </w:r>
      <w:r>
        <w:rPr>
          <w:rFonts w:ascii="Comfortaa" w:hAnsi="Comfortaa"/>
        </w:rPr>
        <w:t xml:space="preserve"> ткани и </w:t>
      </w:r>
      <w:r>
        <w:rPr>
          <w:rFonts w:ascii="Comfortaa" w:hAnsi="Comfortaa"/>
        </w:rPr>
        <w:t>зависят от общего здоровья организма и образа жизни пациента, а также от соблюдения пациентом рекомендаций лечащего врача.</w:t>
      </w:r>
    </w:p>
    <w:p w14:paraId="1B000000">
      <w:pPr>
        <w:rPr>
          <w:rFonts w:ascii="Comfortaa" w:hAnsi="Comfortaa"/>
        </w:rPr>
      </w:pPr>
      <w:r>
        <w:rPr>
          <w:rFonts w:ascii="Comfortaa" w:hAnsi="Comfortaa"/>
        </w:rPr>
        <w:t>Гарантии не распространяются:</w:t>
      </w:r>
    </w:p>
    <w:p w14:paraId="1C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 xml:space="preserve">на </w:t>
      </w:r>
      <w:r>
        <w:rPr>
          <w:rFonts w:ascii="Comfortaa" w:hAnsi="Comfortaa"/>
        </w:rPr>
        <w:t>пародонтологическое</w:t>
      </w:r>
      <w:r>
        <w:rPr>
          <w:rFonts w:ascii="Comfortaa" w:hAnsi="Comfortaa"/>
        </w:rPr>
        <w:t xml:space="preserve"> лечение и профе</w:t>
      </w:r>
      <w:r>
        <w:rPr>
          <w:rFonts w:ascii="Comfortaa" w:hAnsi="Comfortaa"/>
        </w:rPr>
        <w:t>ссиональную гигиену полости рта</w:t>
      </w:r>
    </w:p>
    <w:p w14:paraId="1D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 xml:space="preserve">при </w:t>
      </w:r>
      <w:r>
        <w:rPr>
          <w:rFonts w:ascii="Comfortaa" w:hAnsi="Comfortaa"/>
        </w:rPr>
        <w:t>перелечива</w:t>
      </w:r>
      <w:r>
        <w:rPr>
          <w:rFonts w:ascii="Comfortaa" w:hAnsi="Comfortaa"/>
        </w:rPr>
        <w:t>нии</w:t>
      </w:r>
      <w:r>
        <w:rPr>
          <w:rFonts w:ascii="Comfortaa" w:hAnsi="Comfortaa"/>
        </w:rPr>
        <w:t xml:space="preserve"> осложненных форм кариеса</w:t>
      </w:r>
      <w:r>
        <w:rPr>
          <w:rFonts w:ascii="Comfortaa" w:hAnsi="Comfortaa"/>
        </w:rPr>
        <w:t>, ранее леченых в других стоматологических клиниках</w:t>
      </w:r>
      <w:r>
        <w:rPr>
          <w:rFonts w:ascii="Comfortaa" w:hAnsi="Comfortaa"/>
        </w:rPr>
        <w:t xml:space="preserve"> (пульпит, периодонтит)</w:t>
      </w:r>
    </w:p>
    <w:p w14:paraId="1E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>на установку украшений в полости рта</w:t>
      </w:r>
      <w:r>
        <w:rPr>
          <w:rFonts w:ascii="Comfortaa" w:hAnsi="Comfortaa"/>
        </w:rPr>
        <w:t xml:space="preserve"> (</w:t>
      </w:r>
      <w:r>
        <w:rPr>
          <w:rFonts w:ascii="Comfortaa" w:hAnsi="Comfortaa"/>
        </w:rPr>
        <w:t>скайс</w:t>
      </w:r>
      <w:r>
        <w:rPr>
          <w:rFonts w:ascii="Comfortaa" w:hAnsi="Comfortaa"/>
        </w:rPr>
        <w:t>)</w:t>
      </w:r>
    </w:p>
    <w:p w14:paraId="1F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>на временные конструкции (коронки, вре</w:t>
      </w:r>
      <w:r>
        <w:rPr>
          <w:rFonts w:ascii="Comfortaa" w:hAnsi="Comfortaa"/>
        </w:rPr>
        <w:t>менные частично съемные протезы)</w:t>
      </w:r>
    </w:p>
    <w:p w14:paraId="20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>на ортопедические конструкции (временные и постоянные), установленные на не леченные по показаниям зубы (при отказе пациента от лечения), а также зубы леченые в других клиниках при отсутствии достоверного, динамического, положительного наблюдения от 6 месяцев и более</w:t>
      </w:r>
    </w:p>
    <w:p w14:paraId="21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>на коррекцию сколов керамики композитным материалом</w:t>
      </w:r>
    </w:p>
    <w:p w14:paraId="22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>н</w:t>
      </w:r>
      <w:r>
        <w:rPr>
          <w:rFonts w:ascii="Comfortaa" w:hAnsi="Comfortaa"/>
        </w:rPr>
        <w:t>а лечение хронического периодонтита (возможно, потребуются дополнительные процедуры для купиров</w:t>
      </w:r>
      <w:r>
        <w:rPr>
          <w:rFonts w:ascii="Comfortaa" w:hAnsi="Comfortaa"/>
        </w:rPr>
        <w:t>ания</w:t>
      </w:r>
      <w:r>
        <w:rPr>
          <w:rFonts w:ascii="Comfortaa" w:hAnsi="Comfortaa"/>
        </w:rPr>
        <w:t xml:space="preserve"> воспаления)</w:t>
      </w:r>
    </w:p>
    <w:p w14:paraId="23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 xml:space="preserve">на </w:t>
      </w:r>
      <w:r>
        <w:rPr>
          <w:rFonts w:ascii="Comfortaa" w:hAnsi="Comfortaa"/>
        </w:rPr>
        <w:t>пломбы</w:t>
      </w:r>
      <w:r>
        <w:rPr>
          <w:rFonts w:ascii="Comfortaa" w:hAnsi="Comfortaa"/>
        </w:rPr>
        <w:t xml:space="preserve"> при разрушении коронковой части зуба более 50%</w:t>
      </w:r>
      <w:r>
        <w:rPr>
          <w:rFonts w:ascii="Comfortaa" w:hAnsi="Comfortaa"/>
        </w:rPr>
        <w:t xml:space="preserve"> (от объема коронковой части)</w:t>
      </w:r>
    </w:p>
    <w:p w14:paraId="24000000">
      <w:pPr>
        <w:numPr>
          <w:ilvl w:val="0"/>
          <w:numId w:val="1"/>
        </w:numPr>
        <w:rPr>
          <w:rFonts w:ascii="Comfortaa" w:hAnsi="Comfortaa"/>
        </w:rPr>
      </w:pPr>
      <w:r>
        <w:rPr>
          <w:rFonts w:ascii="Comfortaa" w:hAnsi="Comfortaa"/>
        </w:rPr>
        <w:t xml:space="preserve">на подклейку </w:t>
      </w:r>
      <w:r>
        <w:rPr>
          <w:rFonts w:ascii="Comfortaa" w:hAnsi="Comfortaa"/>
        </w:rPr>
        <w:t>ретейнера</w:t>
      </w:r>
      <w:r>
        <w:rPr>
          <w:rFonts w:ascii="Comfortaa" w:hAnsi="Comfortaa"/>
        </w:rPr>
        <w:t xml:space="preserve">, если фиксация была проведена в других стоматологиях. </w:t>
      </w:r>
    </w:p>
    <w:p w14:paraId="25000000">
      <w:pPr>
        <w:rPr>
          <w:rFonts w:ascii="Comfortaa" w:hAnsi="Comfortaa"/>
        </w:rPr>
      </w:pPr>
      <w:r>
        <w:rPr>
          <w:rFonts w:ascii="Comfortaa" w:hAnsi="Comfortaa"/>
        </w:rPr>
        <w:t xml:space="preserve">Ввиду трудности четкого прогноза результата лечения возможно предоставление сокращенной гарантии на лечение зуба, имеющего прямые показания для дальнейшего протезирования (покрытия ортопедической коронкой) </w:t>
      </w:r>
    </w:p>
    <w:p w14:paraId="26000000">
      <w:pPr>
        <w:rPr>
          <w:rFonts w:ascii="Comfortaa" w:hAnsi="Comfortaa"/>
        </w:rPr>
      </w:pPr>
      <w:r>
        <w:rPr>
          <w:rFonts w:ascii="Comfortaa" w:hAnsi="Comfortaa"/>
        </w:rPr>
        <w:t>Просрочка контрольного осмотра со стороны пациента более, чем на 2 месяца приводит к прекращению гарантии.</w:t>
      </w:r>
    </w:p>
    <w:p w14:paraId="27000000">
      <w:pPr>
        <w:rPr>
          <w:rFonts w:ascii="Comfortaa" w:hAnsi="Comfortaa"/>
        </w:rPr>
      </w:pPr>
      <w:r>
        <w:rPr>
          <w:rFonts w:ascii="Comfortaa" w:hAnsi="Comfortaa"/>
        </w:rPr>
        <w:t>Возможные причины уменьшения гарантийного срока и срока службы:</w:t>
      </w:r>
    </w:p>
    <w:p w14:paraId="28000000">
      <w:pPr>
        <w:rPr>
          <w:rFonts w:ascii="Comfortaa" w:hAnsi="Comfortaa"/>
        </w:rPr>
      </w:pPr>
      <w:r>
        <w:rPr>
          <w:rFonts w:ascii="Times New Roman" w:hAnsi="Times New Roman"/>
        </w:rPr>
        <w:t>​</w:t>
      </w:r>
      <w:r>
        <w:rPr>
          <w:rFonts w:ascii="Comfortaa" w:hAnsi="Comfortaa"/>
        </w:rPr>
        <w:t> - наличие хронических заболеваний полости рта: наличие подвижности зубов; наличие диагноза заболеваний десен (пародонтит, пародонтоз).</w:t>
      </w:r>
    </w:p>
    <w:p w14:paraId="29000000">
      <w:pPr>
        <w:rPr>
          <w:rFonts w:ascii="Comfortaa" w:hAnsi="Comfortaa"/>
        </w:rPr>
      </w:pPr>
      <w:r>
        <w:rPr>
          <w:rFonts w:ascii="Times New Roman" w:hAnsi="Times New Roman"/>
        </w:rPr>
        <w:t>​</w:t>
      </w:r>
      <w:r>
        <w:rPr>
          <w:rFonts w:ascii="Comfortaa" w:hAnsi="Comfortaa"/>
        </w:rPr>
        <w:t> - наличие хронических соматических заболеваний: сахарный диабет, заболевания щитовидной железы и т.д.</w:t>
      </w:r>
    </w:p>
    <w:p w14:paraId="2A000000">
      <w:pPr>
        <w:rPr>
          <w:rFonts w:ascii="Comfortaa" w:hAnsi="Comfortaa"/>
        </w:rPr>
      </w:pPr>
      <w:r>
        <w:rPr>
          <w:rFonts w:ascii="Comfortaa" w:hAnsi="Comfortaa"/>
        </w:rPr>
        <w:t xml:space="preserve">- </w:t>
      </w:r>
      <w:r>
        <w:rPr>
          <w:rFonts w:ascii="Comfortaa" w:hAnsi="Comfortaa"/>
        </w:rPr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2B000000">
      <w:pPr>
        <w:rPr>
          <w:rFonts w:ascii="Comfortaa" w:hAnsi="Comfortaa"/>
        </w:rPr>
      </w:pPr>
      <w:r>
        <w:rPr>
          <w:rFonts w:ascii="Comfortaa" w:hAnsi="Comfortaa"/>
        </w:rPr>
        <w:t xml:space="preserve">- </w:t>
      </w:r>
      <w:r>
        <w:rPr>
          <w:rFonts w:ascii="Comfortaa" w:hAnsi="Comfortaa"/>
        </w:rPr>
        <w:t>прием гормональных, психотропных, наркотических, кислотосодержащих препаратов;</w:t>
      </w:r>
    </w:p>
    <w:p w14:paraId="2C000000">
      <w:pPr>
        <w:rPr>
          <w:rFonts w:ascii="Comfortaa" w:hAnsi="Comfortaa"/>
        </w:rPr>
      </w:pPr>
      <w:r>
        <w:rPr>
          <w:rFonts w:ascii="Comfortaa" w:hAnsi="Comfortaa"/>
        </w:rPr>
        <w:t xml:space="preserve">- </w:t>
      </w:r>
      <w:r>
        <w:rPr>
          <w:rFonts w:ascii="Comfortaa" w:hAnsi="Comfortaa"/>
        </w:rPr>
        <w:t>невыполнение рекомендаций врача, направленных на укрепление эмали зубов, нормализацию состояния десен;</w:t>
      </w:r>
    </w:p>
    <w:p w14:paraId="2D000000">
      <w:pPr>
        <w:rPr>
          <w:rFonts w:ascii="Comfortaa" w:hAnsi="Comfortaa"/>
        </w:rPr>
      </w:pPr>
      <w:r>
        <w:rPr>
          <w:rFonts w:ascii="Comfortaa" w:hAnsi="Comfortaa"/>
        </w:rPr>
        <w:t>-</w:t>
      </w:r>
      <w:r>
        <w:rPr>
          <w:rFonts w:ascii="Comfortaa" w:hAnsi="Comfortaa"/>
        </w:rPr>
        <w:t> самолечение стоматологических заболеваний (применение процедур и прием медикаментов, не назначенных врачом);</w:t>
      </w:r>
    </w:p>
    <w:p w14:paraId="2E000000">
      <w:pPr>
        <w:rPr>
          <w:rFonts w:ascii="Comfortaa" w:hAnsi="Comfortaa"/>
        </w:rPr>
      </w:pPr>
      <w:r>
        <w:rPr>
          <w:rFonts w:ascii="Comfortaa" w:hAnsi="Comfortaa"/>
        </w:rPr>
        <w:t>-</w:t>
      </w:r>
      <w:r>
        <w:rPr>
          <w:rFonts w:ascii="Comfortaa" w:hAnsi="Comfortaa"/>
        </w:rPr>
        <w:t> при неудовлетворительной гигиене полости рта, т.е. гигиенический индекс «ГИ», о</w:t>
      </w:r>
      <w:r>
        <w:rPr>
          <w:rFonts w:ascii="Comfortaa" w:hAnsi="Comfortaa"/>
        </w:rPr>
        <w:t>пределяемый врачом, больше 1,5 </w:t>
      </w:r>
      <w:r>
        <w:rPr>
          <w:rFonts w:ascii="Comfortaa" w:hAnsi="Comfortaa"/>
        </w:rPr>
        <w:t>– сроки гарантии и службы уменьшаются на 50%;</w:t>
      </w:r>
    </w:p>
    <w:p w14:paraId="2F000000">
      <w:pPr>
        <w:rPr>
          <w:rFonts w:ascii="Comfortaa" w:hAnsi="Comfortaa"/>
        </w:rPr>
      </w:pPr>
      <w:r>
        <w:rPr>
          <w:rFonts w:ascii="Comfortaa" w:hAnsi="Comfortaa"/>
        </w:rPr>
        <w:t>-</w:t>
      </w:r>
      <w:r>
        <w:rPr>
          <w:rFonts w:ascii="Comfortaa" w:hAnsi="Comfortaa"/>
        </w:rPr>
        <w:t xml:space="preserve"> нарушение правил пользования и ухода за зубными </w:t>
      </w:r>
      <w:r>
        <w:rPr>
          <w:rFonts w:ascii="Comfortaa" w:hAnsi="Comfortaa"/>
        </w:rPr>
        <w:t>протезами</w:t>
      </w:r>
      <w:r>
        <w:rPr>
          <w:rFonts w:ascii="Comfortaa" w:hAnsi="Comfortaa"/>
        </w:rPr>
        <w:t>;</w:t>
      </w:r>
    </w:p>
    <w:p w14:paraId="30000000">
      <w:pPr>
        <w:rPr>
          <w:rFonts w:ascii="Comfortaa" w:hAnsi="Comfortaa"/>
        </w:rPr>
      </w:pPr>
      <w:r>
        <w:rPr>
          <w:rFonts w:ascii="Comfortaa" w:hAnsi="Comfortaa"/>
        </w:rPr>
        <w:t>-</w:t>
      </w:r>
      <w:r>
        <w:rPr>
          <w:rFonts w:ascii="Comfortaa" w:hAnsi="Comfortaa"/>
        </w:rPr>
        <w:t> другие причин</w:t>
      </w:r>
      <w:r>
        <w:rPr>
          <w:rFonts w:ascii="Comfortaa" w:hAnsi="Comfortaa"/>
        </w:rPr>
        <w:t>ы, обоснованные лечащим врачом п</w:t>
      </w:r>
      <w:r>
        <w:rPr>
          <w:rFonts w:ascii="Comfortaa" w:hAnsi="Comfortaa"/>
        </w:rPr>
        <w:t>ациента.</w:t>
      </w:r>
    </w:p>
    <w:p w14:paraId="31000000">
      <w:pPr>
        <w:rPr>
          <w:rFonts w:ascii="Comfortaa" w:hAnsi="Comfortaa"/>
        </w:rPr>
      </w:pPr>
    </w:p>
    <w:p w14:paraId="32000000">
      <w:pPr>
        <w:rPr>
          <w:rFonts w:ascii="Comfortaa" w:hAnsi="Comfortaa"/>
        </w:rPr>
      </w:pPr>
    </w:p>
    <w:sectPr>
      <w:pgSz w:h="16838" w:orient="portrait" w:w="11906"/>
      <w:pgMar w:bottom="720" w:footer="709" w:gutter="0" w:header="709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2024-05-15T02:35:20Z</dcterms:modified>
</cp:coreProperties>
</file>